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910C" w14:textId="242C3BEA" w:rsidR="00BC6D30" w:rsidRPr="00216135" w:rsidRDefault="00F86817" w:rsidP="00BC6D30">
      <w:pPr>
        <w:pStyle w:val="NormalWeb"/>
        <w:numPr>
          <w:ilvl w:val="0"/>
          <w:numId w:val="23"/>
        </w:numPr>
        <w:kinsoku w:val="0"/>
        <w:overflowPunct w:val="0"/>
        <w:spacing w:before="0" w:beforeAutospacing="0" w:after="0" w:afterAutospacing="0"/>
        <w:ind w:left="0" w:hanging="284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es-ES"/>
        </w:rPr>
      </w:pPr>
      <w:r w:rsidRPr="00216135">
        <w:rPr>
          <w:rFonts w:ascii="Arial" w:eastAsiaTheme="minorEastAsia" w:hAnsi="Arial" w:cs="Arial"/>
          <w:b/>
          <w:bCs/>
          <w:color w:val="1F3864" w:themeColor="accent1" w:themeShade="80"/>
          <w:kern w:val="24"/>
          <w:sz w:val="28"/>
          <w:szCs w:val="28"/>
        </w:rPr>
        <w:t>CESI</w:t>
      </w:r>
      <w:r w:rsidR="001E2097" w:rsidRPr="00216135">
        <w:rPr>
          <w:rFonts w:ascii="Arial" w:eastAsiaTheme="minorEastAsia" w:hAnsi="Arial" w:cs="Arial"/>
          <w:b/>
          <w:bCs/>
          <w:color w:val="1F3864" w:themeColor="accent1" w:themeShade="80"/>
          <w:kern w:val="24"/>
          <w:sz w:val="28"/>
          <w:szCs w:val="28"/>
        </w:rPr>
        <w:t>Ó</w:t>
      </w:r>
      <w:r w:rsidRPr="00216135">
        <w:rPr>
          <w:rFonts w:ascii="Arial" w:eastAsiaTheme="minorEastAsia" w:hAnsi="Arial" w:cs="Arial"/>
          <w:b/>
          <w:bCs/>
          <w:color w:val="1F3864" w:themeColor="accent1" w:themeShade="80"/>
          <w:kern w:val="24"/>
          <w:sz w:val="28"/>
          <w:szCs w:val="28"/>
        </w:rPr>
        <w:t>N DE DERECHOS:</w:t>
      </w:r>
      <w:r w:rsidRPr="00216135">
        <w:rPr>
          <w:rFonts w:ascii="Arial" w:eastAsiaTheme="minorEastAsia" w:hAnsi="Arial" w:cs="Arial"/>
          <w:color w:val="1F3864" w:themeColor="accent1" w:themeShade="80"/>
          <w:kern w:val="24"/>
          <w:sz w:val="28"/>
          <w:szCs w:val="28"/>
        </w:rPr>
        <w:t xml:space="preserve">  </w:t>
      </w:r>
    </w:p>
    <w:p w14:paraId="50034A43" w14:textId="77777777" w:rsidR="00216135" w:rsidRPr="00216135" w:rsidRDefault="00216135" w:rsidP="0021613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10"/>
          <w:szCs w:val="1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2BCF" w14:paraId="2F4C8B09" w14:textId="77777777" w:rsidTr="00E25021">
        <w:trPr>
          <w:trHeight w:val="551"/>
        </w:trPr>
        <w:tc>
          <w:tcPr>
            <w:tcW w:w="9067" w:type="dxa"/>
          </w:tcPr>
          <w:p w14:paraId="40E7FE92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426"/>
              <w:jc w:val="both"/>
              <w:textAlignment w:val="baseline"/>
              <w:rPr>
                <w:rFonts w:ascii="Arial" w:hAnsi="Arial" w:cs="Arial"/>
                <w:color w:val="333333"/>
                <w:sz w:val="10"/>
                <w:szCs w:val="10"/>
                <w:lang w:val="es-ES"/>
              </w:rPr>
            </w:pPr>
          </w:p>
          <w:p w14:paraId="04F2C511" w14:textId="00E3DED3" w:rsidR="00132BCF" w:rsidRPr="00165D5D" w:rsidRDefault="00132BCF" w:rsidP="00132BCF">
            <w:pPr>
              <w:pStyle w:val="NormalWeb"/>
              <w:numPr>
                <w:ilvl w:val="0"/>
                <w:numId w:val="24"/>
              </w:numPr>
              <w:kinsoku w:val="0"/>
              <w:overflowPunct w:val="0"/>
              <w:spacing w:before="0" w:beforeAutospacing="0" w:after="0" w:afterAutospacing="0"/>
              <w:ind w:left="426" w:hanging="284"/>
              <w:jc w:val="both"/>
              <w:textAlignment w:val="baseline"/>
              <w:rPr>
                <w:rFonts w:ascii="Arial Narrow" w:hAnsi="Arial Narrow" w:cs="Arial"/>
                <w:lang w:val="es-ES"/>
              </w:rPr>
            </w:pPr>
            <w:r w:rsidRPr="00165D5D">
              <w:rPr>
                <w:rFonts w:ascii="Arial Narrow" w:hAnsi="Arial Narrow" w:cs="Arial"/>
                <w:lang w:val="es-ES"/>
              </w:rPr>
              <w:t xml:space="preserve">Proceso por el cual el deudor hipotecario de un crédito vigente bajo el </w:t>
            </w:r>
            <w:r w:rsidRPr="00165D5D">
              <w:rPr>
                <w:rFonts w:ascii="Arial Narrow" w:hAnsi="Arial Narrow" w:cs="Arial"/>
                <w:b/>
                <w:bCs/>
                <w:lang w:val="es-ES"/>
              </w:rPr>
              <w:t>Sistema FHA</w:t>
            </w:r>
            <w:r w:rsidRPr="00165D5D">
              <w:rPr>
                <w:rFonts w:ascii="Arial Narrow" w:hAnsi="Arial Narrow" w:cs="Arial"/>
                <w:lang w:val="es-ES"/>
              </w:rPr>
              <w:t>, cede parcial o totalmente los derechos de su vivienda o apartamento, para que un nuevo deudor sea el responsable ante la Entidad Bancaria que otorgó el préstamo.</w:t>
            </w:r>
          </w:p>
          <w:p w14:paraId="707ED213" w14:textId="77777777" w:rsidR="00132BCF" w:rsidRPr="00165D5D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426" w:hanging="284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  <w:sz w:val="10"/>
                <w:szCs w:val="10"/>
              </w:rPr>
            </w:pPr>
          </w:p>
          <w:p w14:paraId="4C4E05E2" w14:textId="2D4911D7" w:rsidR="00132BCF" w:rsidRPr="00165D5D" w:rsidRDefault="00132BCF" w:rsidP="00132BCF">
            <w:pPr>
              <w:pStyle w:val="Prrafodelista"/>
              <w:numPr>
                <w:ilvl w:val="0"/>
                <w:numId w:val="24"/>
              </w:numPr>
              <w:shd w:val="clear" w:color="auto" w:fill="FFFFFF"/>
              <w:ind w:left="426" w:hanging="284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165D5D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En este caso, no </w:t>
            </w:r>
            <w:r w:rsidR="00165D5D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se hará </w:t>
            </w:r>
            <w:r w:rsidRPr="00165D5D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ningún desembolso de fondos, ni cambios a las condiciones actuales del préstamo (Saldo, plazo, tasa, número de préstamo, etc.), sin embargo, para el análisis de la capacidad de pago, por parte de </w:t>
            </w:r>
            <w:r w:rsidRPr="00165D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GT"/>
              </w:rPr>
              <w:t>FHA,</w:t>
            </w:r>
            <w:r w:rsidRPr="00165D5D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se tomarán en cuenta las condiciones originales del crédito.</w:t>
            </w:r>
          </w:p>
          <w:p w14:paraId="7E842A02" w14:textId="77777777" w:rsidR="00132BCF" w:rsidRDefault="00132BCF" w:rsidP="00BC6D30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</w:tbl>
    <w:p w14:paraId="094E7AAB" w14:textId="77777777" w:rsidR="006E2BED" w:rsidRPr="00BC6D30" w:rsidRDefault="006E2BED" w:rsidP="006E2BE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val="es-ES" w:eastAsia="es-GT"/>
        </w:rPr>
      </w:pPr>
    </w:p>
    <w:p w14:paraId="0676258F" w14:textId="2944C668" w:rsidR="00350764" w:rsidRPr="00216135" w:rsidRDefault="00BC6D30" w:rsidP="005F2606">
      <w:pPr>
        <w:pStyle w:val="Prrafodelista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Arial" w:hAnsi="Arial" w:cs="Arial"/>
          <w:sz w:val="16"/>
          <w:szCs w:val="16"/>
          <w:lang w:val="es-ES"/>
        </w:rPr>
      </w:pPr>
      <w:r w:rsidRPr="00BC6D30"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/>
        </w:rPr>
        <w:t xml:space="preserve">Requisitos Principales: </w:t>
      </w:r>
    </w:p>
    <w:p w14:paraId="4E7C43FF" w14:textId="77777777" w:rsidR="00216135" w:rsidRPr="00216135" w:rsidRDefault="00216135" w:rsidP="0021613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2BCF" w14:paraId="18B2BC7E" w14:textId="77777777" w:rsidTr="00E25021">
        <w:tc>
          <w:tcPr>
            <w:tcW w:w="9067" w:type="dxa"/>
          </w:tcPr>
          <w:p w14:paraId="6A605CFD" w14:textId="77777777" w:rsidR="00A75EB9" w:rsidRPr="00A75EB9" w:rsidRDefault="00A75EB9" w:rsidP="00A75EB9">
            <w:pPr>
              <w:pStyle w:val="Prrafodelista"/>
              <w:ind w:left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71EC2499" w14:textId="39A0D6E2" w:rsidR="00132BCF" w:rsidRDefault="00132BCF" w:rsidP="00132BCF">
            <w:pPr>
              <w:pStyle w:val="Prrafodelista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</w:pPr>
            <w:r w:rsidRPr="00420A5D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  <w:t>Emisión de carta de anuencia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  <w:t>:</w:t>
            </w:r>
          </w:p>
          <w:p w14:paraId="0B4504EF" w14:textId="77777777" w:rsidR="00132BCF" w:rsidRPr="00132BCF" w:rsidRDefault="00132BCF" w:rsidP="00132BCF">
            <w:pPr>
              <w:pStyle w:val="Prrafodelista"/>
              <w:ind w:left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71DB0855" w14:textId="77777777" w:rsidR="00132BCF" w:rsidRPr="00165D5D" w:rsidRDefault="00132BCF" w:rsidP="00132BCF">
            <w:pPr>
              <w:ind w:left="284"/>
              <w:jc w:val="both"/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</w:pPr>
            <w:r w:rsidRPr="00165D5D"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  <w:t>La entidad Bancaria emite una carta indicando que atenderá la solicitud de Cesión de Derechos.</w:t>
            </w:r>
          </w:p>
          <w:p w14:paraId="052933BE" w14:textId="77777777" w:rsidR="00132BCF" w:rsidRPr="00132BCF" w:rsidRDefault="00132BCF" w:rsidP="00BC6D30">
            <w:pPr>
              <w:pStyle w:val="Prrafodelista"/>
              <w:ind w:left="0"/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132BCF" w14:paraId="26B24893" w14:textId="77777777" w:rsidTr="00E25021">
        <w:tc>
          <w:tcPr>
            <w:tcW w:w="9067" w:type="dxa"/>
          </w:tcPr>
          <w:p w14:paraId="380BD96C" w14:textId="77777777" w:rsidR="00A75EB9" w:rsidRPr="00A75EB9" w:rsidRDefault="00A75EB9" w:rsidP="00A75EB9">
            <w:pPr>
              <w:pStyle w:val="Prrafodelista"/>
              <w:ind w:left="306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04C1B3A4" w14:textId="1CC476BC" w:rsidR="00132BCF" w:rsidRDefault="00132BCF" w:rsidP="00132BCF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</w:pPr>
            <w:r w:rsidRPr="00420A5D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  <w:t>Emisión de carta de anuencia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</w:rPr>
              <w:t>:</w:t>
            </w:r>
          </w:p>
          <w:p w14:paraId="16154092" w14:textId="77777777" w:rsidR="00132BCF" w:rsidRPr="00132BCF" w:rsidRDefault="00132BCF" w:rsidP="00132BCF">
            <w:pPr>
              <w:pStyle w:val="Prrafodelista"/>
              <w:ind w:left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472519E6" w14:textId="77777777" w:rsidR="00132BCF" w:rsidRPr="00165D5D" w:rsidRDefault="00132BCF" w:rsidP="00132BCF">
            <w:pPr>
              <w:ind w:left="284"/>
              <w:jc w:val="both"/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</w:pPr>
            <w:r w:rsidRPr="00165D5D"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  <w:t>La entidad Bancaria emite una carta indicando que atenderá la solicitud de Cesión de Derechos.</w:t>
            </w:r>
          </w:p>
          <w:p w14:paraId="5561DEEF" w14:textId="4F95F6AD" w:rsidR="00132BCF" w:rsidRPr="00132BCF" w:rsidRDefault="00132BCF" w:rsidP="00132BCF">
            <w:pPr>
              <w:ind w:left="284"/>
              <w:jc w:val="both"/>
              <w:rPr>
                <w:rFonts w:ascii="Arial" w:eastAsiaTheme="minorEastAsia" w:hAnsi="Arial" w:cs="Arial"/>
                <w:kern w:val="24"/>
                <w:sz w:val="10"/>
                <w:szCs w:val="10"/>
              </w:rPr>
            </w:pPr>
          </w:p>
        </w:tc>
      </w:tr>
      <w:tr w:rsidR="00132BCF" w14:paraId="60B355EA" w14:textId="77777777" w:rsidTr="00E25021">
        <w:tc>
          <w:tcPr>
            <w:tcW w:w="9067" w:type="dxa"/>
          </w:tcPr>
          <w:p w14:paraId="1FDDD86C" w14:textId="77777777" w:rsidR="00A75EB9" w:rsidRPr="00A75EB9" w:rsidRDefault="00A75EB9" w:rsidP="00A75EB9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5761CAF2" w14:textId="78D50997" w:rsidR="00132BCF" w:rsidRPr="00420A5D" w:rsidRDefault="00132BCF" w:rsidP="00132BCF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420A5D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Completar el expediente:</w:t>
            </w:r>
          </w:p>
          <w:p w14:paraId="5DB37B1B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4986A8CE" w14:textId="77777777" w:rsidR="00132BCF" w:rsidRPr="00132BCF" w:rsidRDefault="00132BCF" w:rsidP="00132BCF">
            <w:pPr>
              <w:pStyle w:val="NormalWeb"/>
              <w:numPr>
                <w:ilvl w:val="0"/>
                <w:numId w:val="25"/>
              </w:numPr>
              <w:kinsoku w:val="0"/>
              <w:overflowPunct w:val="0"/>
              <w:spacing w:before="0" w:beforeAutospacing="0" w:after="0" w:afterAutospacing="0"/>
              <w:ind w:left="426" w:hanging="142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u w:val="single"/>
              </w:rPr>
            </w:pPr>
            <w:r w:rsidRPr="00165D5D">
              <w:rPr>
                <w:rFonts w:ascii="Arial Narrow" w:eastAsiaTheme="minorEastAsia" w:hAnsi="Arial Narrow" w:cs="Arial"/>
                <w:color w:val="000000" w:themeColor="text1"/>
                <w:kern w:val="24"/>
              </w:rPr>
              <w:t>Los formularios para la solicitud, se encuentran en el link:</w:t>
            </w:r>
            <w:r w:rsidRPr="00B62ACE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32BCF">
              <w:rPr>
                <w:rFonts w:ascii="Arial" w:eastAsiaTheme="minorEastAsia" w:hAnsi="Arial" w:cs="Arial"/>
                <w:b/>
                <w:bCs/>
                <w:i/>
                <w:iCs/>
                <w:color w:val="1F3864" w:themeColor="accent1" w:themeShade="80"/>
                <w:kern w:val="24"/>
                <w:sz w:val="22"/>
                <w:szCs w:val="22"/>
                <w:u w:val="single"/>
              </w:rPr>
              <w:t>Compradores de Viviendas -FHA</w:t>
            </w:r>
          </w:p>
          <w:p w14:paraId="4E06B330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721515CC" w14:textId="77777777" w:rsidR="00132BCF" w:rsidRPr="00BC6D30" w:rsidRDefault="00132BCF" w:rsidP="00132BCF">
            <w:pPr>
              <w:pStyle w:val="Prrafodelista"/>
              <w:numPr>
                <w:ilvl w:val="0"/>
                <w:numId w:val="14"/>
              </w:numPr>
              <w:ind w:left="567" w:hanging="283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</w:pPr>
            <w:r w:rsidRPr="00BC6D30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Ingreso de expediente a FHA:</w:t>
            </w:r>
          </w:p>
          <w:p w14:paraId="2DF21963" w14:textId="77777777" w:rsidR="00132BCF" w:rsidRPr="00132BCF" w:rsidRDefault="00132BCF" w:rsidP="00132BCF">
            <w:pPr>
              <w:pStyle w:val="Prrafodelista"/>
              <w:ind w:left="567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3BC4C28E" w14:textId="77777777" w:rsidR="00132BCF" w:rsidRPr="00216135" w:rsidRDefault="00132BCF" w:rsidP="00165D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6135">
              <w:rPr>
                <w:rFonts w:ascii="Arial Narrow" w:hAnsi="Arial Narrow" w:cs="Arial"/>
                <w:sz w:val="24"/>
                <w:szCs w:val="24"/>
              </w:rPr>
              <w:t>Recepción y revisión del expediente en Servicio al Cliente, según Checklist. (Adjunto)</w:t>
            </w:r>
          </w:p>
          <w:p w14:paraId="0668A864" w14:textId="77777777" w:rsidR="00132BCF" w:rsidRPr="00216135" w:rsidRDefault="00132BCF" w:rsidP="00165D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6135">
              <w:rPr>
                <w:rFonts w:ascii="Arial Narrow" w:hAnsi="Arial Narrow" w:cs="Arial"/>
                <w:sz w:val="24"/>
                <w:szCs w:val="24"/>
              </w:rPr>
              <w:t>Realizar el pago de Derechos de Solicitud, el 5 por millar sobre el monto del financiamiento original.</w:t>
            </w:r>
          </w:p>
          <w:p w14:paraId="7810BFE5" w14:textId="456C215D" w:rsidR="00132BCF" w:rsidRPr="00216135" w:rsidRDefault="00132BCF" w:rsidP="00165D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6135">
              <w:rPr>
                <w:rFonts w:ascii="Arial Narrow" w:hAnsi="Arial Narrow" w:cs="Arial"/>
                <w:sz w:val="24"/>
                <w:szCs w:val="24"/>
              </w:rPr>
              <w:t>Ingresar la Solicitud de Resguardo de Asegurabilidad al Departamento Gestión de Expedientes, para verificar que la documentación y/o información está correcta</w:t>
            </w:r>
            <w:r w:rsidR="00CE0513" w:rsidRPr="00216135">
              <w:rPr>
                <w:rFonts w:ascii="Arial Narrow" w:hAnsi="Arial Narrow" w:cs="Arial"/>
                <w:sz w:val="24"/>
                <w:szCs w:val="24"/>
              </w:rPr>
              <w:t xml:space="preserve"> e ingreso del caso al sistema.</w:t>
            </w:r>
          </w:p>
          <w:p w14:paraId="359E9D8B" w14:textId="446EB55D" w:rsidR="00132BCF" w:rsidRPr="00216135" w:rsidRDefault="00F12F10" w:rsidP="00165D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613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132BCF" w:rsidRPr="00216135">
              <w:rPr>
                <w:rFonts w:ascii="Arial Narrow" w:hAnsi="Arial Narrow" w:cs="Arial"/>
                <w:sz w:val="24"/>
                <w:szCs w:val="24"/>
              </w:rPr>
              <w:t xml:space="preserve">a División de Análisis de Seguros, </w:t>
            </w:r>
            <w:r w:rsidRPr="00216135">
              <w:rPr>
                <w:rFonts w:ascii="Arial Narrow" w:hAnsi="Arial Narrow" w:cs="Arial"/>
                <w:sz w:val="24"/>
                <w:szCs w:val="24"/>
              </w:rPr>
              <w:t>realiza</w:t>
            </w:r>
            <w:r w:rsidR="00132BCF" w:rsidRPr="00216135">
              <w:rPr>
                <w:rFonts w:ascii="Arial Narrow" w:hAnsi="Arial Narrow" w:cs="Arial"/>
                <w:sz w:val="24"/>
                <w:szCs w:val="24"/>
              </w:rPr>
              <w:t xml:space="preserve"> el correspondiente análisis de capacidad de pago.</w:t>
            </w:r>
          </w:p>
          <w:p w14:paraId="65C8BACE" w14:textId="77777777" w:rsidR="00132BCF" w:rsidRPr="00132BCF" w:rsidRDefault="00132BCF" w:rsidP="00132BCF">
            <w:pPr>
              <w:pStyle w:val="Prrafodelista"/>
              <w:ind w:left="306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132BCF" w14:paraId="3915EF83" w14:textId="77777777" w:rsidTr="00E25021">
        <w:tc>
          <w:tcPr>
            <w:tcW w:w="9067" w:type="dxa"/>
          </w:tcPr>
          <w:p w14:paraId="3E7EED12" w14:textId="77777777" w:rsidR="00A75EB9" w:rsidRPr="00A75EB9" w:rsidRDefault="00A75EB9" w:rsidP="00A75EB9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A6D28E3" w14:textId="3BD3916E" w:rsidR="00132BCF" w:rsidRPr="003E719B" w:rsidRDefault="00132BCF" w:rsidP="00132BCF">
            <w:pPr>
              <w:pStyle w:val="NormalWeb"/>
              <w:numPr>
                <w:ilvl w:val="0"/>
                <w:numId w:val="14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C6D30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2"/>
                <w:szCs w:val="22"/>
              </w:rPr>
              <w:t>Tiempos de respuesta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22"/>
                <w:szCs w:val="22"/>
              </w:rPr>
              <w:t>:</w:t>
            </w:r>
          </w:p>
          <w:p w14:paraId="38C65E23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D163E1B" w14:textId="77777777" w:rsidR="00132BCF" w:rsidRPr="00165D5D" w:rsidRDefault="00132BCF" w:rsidP="00132BCF">
            <w:pPr>
              <w:pStyle w:val="Normal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ind w:left="993" w:hanging="284"/>
              <w:textAlignment w:val="baseline"/>
              <w:rPr>
                <w:rFonts w:ascii="Arial Narrow" w:hAnsi="Arial Narrow" w:cs="Arial"/>
              </w:rPr>
            </w:pPr>
            <w:r w:rsidRPr="00165D5D">
              <w:rPr>
                <w:rFonts w:ascii="Arial Narrow" w:eastAsiaTheme="minorEastAsia" w:hAnsi="Arial Narrow" w:cs="Arial"/>
                <w:kern w:val="24"/>
              </w:rPr>
              <w:t>2 días con el Departamento de Gestión de Expedientes.</w:t>
            </w:r>
          </w:p>
          <w:p w14:paraId="49596009" w14:textId="77777777" w:rsidR="00132BCF" w:rsidRPr="00165D5D" w:rsidRDefault="00132BCF" w:rsidP="00132BCF">
            <w:pPr>
              <w:pStyle w:val="Normal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ind w:left="993" w:hanging="284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165D5D">
              <w:rPr>
                <w:rFonts w:ascii="Arial Narrow" w:eastAsiaTheme="minorEastAsia" w:hAnsi="Arial Narrow" w:cs="Arial"/>
                <w:kern w:val="24"/>
              </w:rPr>
              <w:t>5 días con la División de Análisis de Seguros y División de Análisis Inmobiliario.</w:t>
            </w:r>
          </w:p>
          <w:p w14:paraId="491B5843" w14:textId="77777777" w:rsidR="00132BCF" w:rsidRPr="00A75EB9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132BCF" w14:paraId="262D4CD2" w14:textId="77777777" w:rsidTr="00E25021">
        <w:tc>
          <w:tcPr>
            <w:tcW w:w="9067" w:type="dxa"/>
          </w:tcPr>
          <w:p w14:paraId="0D39AED9" w14:textId="77777777" w:rsidR="00A75EB9" w:rsidRPr="00A75EB9" w:rsidRDefault="00A75EB9" w:rsidP="00A75EB9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363A1547" w14:textId="25F58344" w:rsidR="00132BCF" w:rsidRPr="00420A5D" w:rsidRDefault="00132BCF" w:rsidP="00132BCF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</w:pPr>
            <w:r w:rsidRPr="00420A5D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Aprobación de Solicitud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:</w:t>
            </w:r>
          </w:p>
          <w:p w14:paraId="6D4F1C28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0EF822CB" w14:textId="4A868713" w:rsidR="00132BCF" w:rsidRPr="00165D5D" w:rsidRDefault="00132BCF" w:rsidP="00132BCF">
            <w:pPr>
              <w:pStyle w:val="NormalWeb"/>
              <w:numPr>
                <w:ilvl w:val="0"/>
                <w:numId w:val="21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165D5D">
              <w:rPr>
                <w:rFonts w:ascii="Arial Narrow" w:eastAsiaTheme="minorEastAsia" w:hAnsi="Arial Narrow" w:cs="Arial"/>
                <w:kern w:val="24"/>
              </w:rPr>
              <w:t>Al cumplir el expediente con todos los requisitos y contar con las aprobaciones necesarias, se envía una Nota a la Entidad Bancaria</w:t>
            </w:r>
            <w:r w:rsidR="00A75EB9" w:rsidRPr="00165D5D">
              <w:rPr>
                <w:rFonts w:ascii="Arial Narrow" w:eastAsiaTheme="minorEastAsia" w:hAnsi="Arial Narrow" w:cs="Arial"/>
                <w:kern w:val="24"/>
              </w:rPr>
              <w:t xml:space="preserve"> notificando la aprobación.</w:t>
            </w:r>
          </w:p>
          <w:p w14:paraId="25D98E1A" w14:textId="77777777" w:rsidR="00132BCF" w:rsidRPr="00132BCF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132BCF" w14:paraId="312EF170" w14:textId="77777777" w:rsidTr="00E25021">
        <w:tc>
          <w:tcPr>
            <w:tcW w:w="9067" w:type="dxa"/>
          </w:tcPr>
          <w:p w14:paraId="508B1C95" w14:textId="77777777" w:rsidR="004473C4" w:rsidRPr="004473C4" w:rsidRDefault="004473C4" w:rsidP="004473C4">
            <w:pPr>
              <w:pStyle w:val="Prrafodelista"/>
              <w:shd w:val="clear" w:color="auto" w:fill="FFFFFF"/>
              <w:ind w:left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val="es-ES" w:eastAsia="es-GT"/>
              </w:rPr>
            </w:pPr>
          </w:p>
          <w:p w14:paraId="7B0A1E92" w14:textId="79C68938" w:rsidR="00132BCF" w:rsidRPr="00420A5D" w:rsidRDefault="00132BCF" w:rsidP="00132BCF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84" w:hanging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ES" w:eastAsia="es-GT"/>
              </w:rPr>
            </w:pPr>
            <w:r w:rsidRPr="00420A5D">
              <w:rPr>
                <w:rFonts w:ascii="Arial" w:eastAsia="Times New Roman" w:hAnsi="Arial" w:cs="Arial"/>
                <w:b/>
                <w:bCs/>
                <w:color w:val="17365D"/>
                <w:sz w:val="24"/>
                <w:szCs w:val="24"/>
                <w:lang w:val="es-ES" w:eastAsia="es-GT"/>
              </w:rPr>
              <w:t>Pagos a realizarse en FHA:</w:t>
            </w:r>
          </w:p>
          <w:p w14:paraId="4E43D028" w14:textId="77777777" w:rsidR="00132BCF" w:rsidRPr="004473C4" w:rsidRDefault="00132BCF" w:rsidP="00132BCF">
            <w:pPr>
              <w:pStyle w:val="Prrafodelista"/>
              <w:shd w:val="clear" w:color="auto" w:fill="FFFFFF"/>
              <w:ind w:left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val="es-ES" w:eastAsia="es-GT"/>
              </w:rPr>
            </w:pPr>
          </w:p>
          <w:p w14:paraId="1A9577F5" w14:textId="5E0C009B" w:rsidR="00132BCF" w:rsidRDefault="00132BCF" w:rsidP="00132BCF">
            <w:pPr>
              <w:numPr>
                <w:ilvl w:val="0"/>
                <w:numId w:val="18"/>
              </w:numPr>
              <w:shd w:val="clear" w:color="auto" w:fill="FFFFFF"/>
              <w:ind w:left="495" w:hanging="211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165D5D"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val="es-ES" w:eastAsia="es-GT"/>
              </w:rPr>
              <w:t xml:space="preserve">Pago del </w:t>
            </w:r>
            <w:r w:rsidRPr="00165D5D">
              <w:rPr>
                <w:rFonts w:ascii="Arial Narrow" w:hAnsi="Arial Narrow" w:cs="Arial"/>
                <w:b/>
                <w:bCs/>
                <w:sz w:val="24"/>
                <w:szCs w:val="24"/>
              </w:rPr>
              <w:t>0.005 (5 por millar)</w:t>
            </w:r>
            <w:r w:rsidRPr="00165D5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65D5D"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val="es-ES" w:eastAsia="es-GT"/>
              </w:rPr>
              <w:t xml:space="preserve">(Calculado según el monto original del crédito vigente):  </w:t>
            </w:r>
            <w:r w:rsidRPr="00165D5D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  <w:t xml:space="preserve">corresponde al análisis que realizará FHA, se debe cancelar </w:t>
            </w:r>
            <w:r w:rsidR="002D27EC" w:rsidRPr="00165D5D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  <w:t>con</w:t>
            </w:r>
            <w:r w:rsidRPr="00165D5D"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  <w:t xml:space="preserve"> cheque de caja al momento de presentar el expediente en oficinas FHA.</w:t>
            </w:r>
          </w:p>
          <w:p w14:paraId="0D803558" w14:textId="77777777" w:rsidR="00165D5D" w:rsidRPr="00216135" w:rsidRDefault="00165D5D" w:rsidP="00165D5D">
            <w:pPr>
              <w:shd w:val="clear" w:color="auto" w:fill="FFFFFF"/>
              <w:ind w:left="495"/>
              <w:jc w:val="both"/>
              <w:rPr>
                <w:rFonts w:ascii="Arial Narrow" w:eastAsia="Times New Roman" w:hAnsi="Arial Narrow" w:cs="Arial"/>
                <w:color w:val="333333"/>
                <w:sz w:val="10"/>
                <w:szCs w:val="10"/>
                <w:lang w:val="es-ES" w:eastAsia="es-GT"/>
              </w:rPr>
            </w:pPr>
          </w:p>
          <w:p w14:paraId="31C36CBA" w14:textId="77777777" w:rsidR="00132BCF" w:rsidRPr="004473C4" w:rsidRDefault="00132BCF" w:rsidP="00132BCF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</w:tbl>
    <w:p w14:paraId="2D5C60E4" w14:textId="77777777" w:rsidR="00165D5D" w:rsidRDefault="00165D5D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2BCF" w14:paraId="55B92469" w14:textId="77777777" w:rsidTr="00E25021">
        <w:tc>
          <w:tcPr>
            <w:tcW w:w="9067" w:type="dxa"/>
          </w:tcPr>
          <w:p w14:paraId="5F1A1068" w14:textId="77777777" w:rsidR="004473C4" w:rsidRPr="004473C4" w:rsidRDefault="004473C4" w:rsidP="004473C4">
            <w:pPr>
              <w:pStyle w:val="Prrafodelista"/>
              <w:shd w:val="clear" w:color="auto" w:fill="FFFFFF"/>
              <w:ind w:left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ES" w:eastAsia="es-GT"/>
              </w:rPr>
            </w:pPr>
          </w:p>
          <w:p w14:paraId="6F0D462C" w14:textId="03764E99" w:rsidR="00132BCF" w:rsidRPr="00420A5D" w:rsidRDefault="00132BCF" w:rsidP="00132BCF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84" w:hanging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ES" w:eastAsia="es-GT"/>
              </w:rPr>
            </w:pPr>
            <w:r w:rsidRPr="00420A5D">
              <w:rPr>
                <w:rFonts w:ascii="Arial" w:eastAsia="Times New Roman" w:hAnsi="Arial" w:cs="Arial"/>
                <w:b/>
                <w:bCs/>
                <w:color w:val="17365D"/>
                <w:sz w:val="24"/>
                <w:szCs w:val="24"/>
                <w:lang w:val="es-ES" w:eastAsia="es-GT"/>
              </w:rPr>
              <w:t>Pagos a la Entidad Bancaria:</w:t>
            </w:r>
          </w:p>
          <w:p w14:paraId="6B49FA6C" w14:textId="77777777" w:rsidR="00132BCF" w:rsidRPr="00165D5D" w:rsidRDefault="00132BCF" w:rsidP="00132BCF">
            <w:pPr>
              <w:pStyle w:val="Prrafodelista"/>
              <w:shd w:val="clear" w:color="auto" w:fill="FFFFFF"/>
              <w:ind w:left="284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val="es-ES" w:eastAsia="es-GT"/>
              </w:rPr>
            </w:pPr>
          </w:p>
          <w:p w14:paraId="1018E591" w14:textId="77777777" w:rsidR="00132BCF" w:rsidRPr="00165D5D" w:rsidRDefault="00132BCF" w:rsidP="00132BCF">
            <w:pPr>
              <w:numPr>
                <w:ilvl w:val="0"/>
                <w:numId w:val="19"/>
              </w:numPr>
              <w:shd w:val="clear" w:color="auto" w:fill="FFFFFF"/>
              <w:ind w:left="493" w:hanging="209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165D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GT"/>
              </w:rPr>
              <w:t>Gastos de escrituración:</w:t>
            </w:r>
            <w:r w:rsidRPr="00165D5D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Corresponden a los honorarios del abogado que realizará la escritura y los gastos del Registro General de la Propiedad por la inscripción de la misma.</w:t>
            </w:r>
          </w:p>
          <w:p w14:paraId="262BA78C" w14:textId="77777777" w:rsidR="00132BCF" w:rsidRPr="005B5445" w:rsidRDefault="00132BCF" w:rsidP="00132BCF">
            <w:pPr>
              <w:shd w:val="clear" w:color="auto" w:fill="FFFFFF"/>
              <w:ind w:left="493"/>
              <w:jc w:val="both"/>
              <w:rPr>
                <w:rFonts w:ascii="Arial" w:eastAsia="Times New Roman" w:hAnsi="Arial" w:cs="Arial"/>
                <w:sz w:val="10"/>
                <w:szCs w:val="10"/>
                <w:lang w:val="es-ES" w:eastAsia="es-GT"/>
              </w:rPr>
            </w:pPr>
          </w:p>
          <w:p w14:paraId="16910D55" w14:textId="28832EC3" w:rsidR="004473C4" w:rsidRPr="004473C4" w:rsidRDefault="004473C4" w:rsidP="00165D5D">
            <w:pPr>
              <w:shd w:val="clear" w:color="auto" w:fill="FFFFFF"/>
              <w:ind w:left="493"/>
              <w:jc w:val="both"/>
              <w:rPr>
                <w:rFonts w:eastAsia="Times New Roman" w:cstheme="minorHAnsi"/>
                <w:color w:val="333333"/>
                <w:sz w:val="10"/>
                <w:szCs w:val="10"/>
                <w:lang w:val="es-ES" w:eastAsia="es-GT"/>
              </w:rPr>
            </w:pPr>
          </w:p>
        </w:tc>
      </w:tr>
    </w:tbl>
    <w:p w14:paraId="20BCD58F" w14:textId="77777777" w:rsidR="00BC6D30" w:rsidRPr="00BC6D30" w:rsidRDefault="00BC6D30" w:rsidP="00BC6D3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  <w:lang w:val="es-ES"/>
        </w:rPr>
      </w:pPr>
    </w:p>
    <w:p w14:paraId="2F007E92" w14:textId="77777777" w:rsidR="005922F8" w:rsidRPr="00BC6D30" w:rsidRDefault="005922F8" w:rsidP="00F8681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43049FFF" w14:textId="77777777" w:rsidR="00D168DE" w:rsidRPr="00BC6D30" w:rsidRDefault="00D168DE" w:rsidP="00F86817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6B1CD204" w14:textId="57DEC62B" w:rsidR="00F00F1D" w:rsidRPr="00BC6D30" w:rsidRDefault="00F00F1D" w:rsidP="00F00F1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1F3864" w:themeColor="accent1" w:themeShade="80"/>
          <w:kern w:val="24"/>
          <w:sz w:val="16"/>
          <w:szCs w:val="16"/>
        </w:rPr>
      </w:pPr>
    </w:p>
    <w:p w14:paraId="0307B56A" w14:textId="2BDAF05E" w:rsidR="00106D65" w:rsidRPr="00BC6D30" w:rsidRDefault="00AC67D1" w:rsidP="00132BCF">
      <w:pPr>
        <w:pStyle w:val="NormalWeb"/>
        <w:kinsoku w:val="0"/>
        <w:overflowPunct w:val="0"/>
        <w:spacing w:before="0" w:beforeAutospacing="0" w:after="0" w:afterAutospacing="0"/>
        <w:ind w:left="284"/>
        <w:textAlignment w:val="baseline"/>
        <w:rPr>
          <w:rFonts w:ascii="Arial" w:hAnsi="Arial" w:cs="Arial"/>
          <w:sz w:val="16"/>
          <w:szCs w:val="16"/>
        </w:rPr>
      </w:pPr>
      <w:r w:rsidRPr="00BC6D30">
        <w:rPr>
          <w:rFonts w:ascii="Arial" w:eastAsiaTheme="minorEastAsia" w:hAnsi="Arial" w:cs="Arial"/>
          <w:b/>
          <w:bCs/>
          <w:color w:val="1F3864" w:themeColor="accent1" w:themeShade="80"/>
          <w:kern w:val="24"/>
          <w:sz w:val="22"/>
          <w:szCs w:val="22"/>
        </w:rPr>
        <w:t xml:space="preserve"> </w:t>
      </w:r>
    </w:p>
    <w:p w14:paraId="1E38B26E" w14:textId="77777777" w:rsidR="00C52B64" w:rsidRDefault="00C52B64" w:rsidP="00C52B64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333333"/>
          <w:sz w:val="16"/>
          <w:szCs w:val="16"/>
          <w:lang w:val="es-ES" w:eastAsia="es-GT"/>
        </w:rPr>
      </w:pPr>
    </w:p>
    <w:p w14:paraId="5E8FF937" w14:textId="5458ACE3" w:rsidR="00AA5AE0" w:rsidRDefault="00AA5AE0" w:rsidP="00106D65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333333"/>
          <w:sz w:val="16"/>
          <w:szCs w:val="16"/>
          <w:lang w:val="es-ES" w:eastAsia="es-GT"/>
        </w:rPr>
      </w:pPr>
    </w:p>
    <w:p w14:paraId="3DF36FED" w14:textId="77777777" w:rsidR="00F86817" w:rsidRPr="007F1B9E" w:rsidRDefault="00F86817" w:rsidP="00106D65">
      <w:pPr>
        <w:shd w:val="clear" w:color="auto" w:fill="FFFFFF"/>
        <w:spacing w:after="0" w:line="240" w:lineRule="auto"/>
        <w:ind w:left="493"/>
        <w:rPr>
          <w:rFonts w:eastAsia="Times New Roman" w:cstheme="minorHAnsi"/>
          <w:color w:val="333333"/>
          <w:sz w:val="24"/>
          <w:szCs w:val="24"/>
          <w:lang w:val="es-ES" w:eastAsia="es-GT"/>
        </w:rPr>
      </w:pPr>
    </w:p>
    <w:p w14:paraId="302C7C4C" w14:textId="35A92EED" w:rsidR="00D168DE" w:rsidRDefault="00D168DE" w:rsidP="00AF4150">
      <w:pPr>
        <w:jc w:val="both"/>
        <w:rPr>
          <w:lang w:val="es-ES"/>
        </w:rPr>
      </w:pPr>
    </w:p>
    <w:p w14:paraId="367A003B" w14:textId="1B70C341" w:rsidR="00D168DE" w:rsidRDefault="00D168DE" w:rsidP="00AF4150">
      <w:pPr>
        <w:jc w:val="both"/>
        <w:rPr>
          <w:lang w:val="es-ES"/>
        </w:rPr>
      </w:pPr>
    </w:p>
    <w:p w14:paraId="4FFF6203" w14:textId="135FFF49" w:rsidR="00C65ED8" w:rsidRDefault="00C65ED8" w:rsidP="00AF4150">
      <w:pPr>
        <w:jc w:val="both"/>
        <w:rPr>
          <w:lang w:val="es-ES"/>
        </w:rPr>
      </w:pPr>
    </w:p>
    <w:p w14:paraId="64D1401A" w14:textId="4A950235" w:rsidR="00C65ED8" w:rsidRDefault="00C65ED8" w:rsidP="00AF4150">
      <w:pPr>
        <w:jc w:val="both"/>
        <w:rPr>
          <w:lang w:val="es-ES"/>
        </w:rPr>
      </w:pPr>
    </w:p>
    <w:p w14:paraId="51828026" w14:textId="167B03EE" w:rsidR="00C65ED8" w:rsidRDefault="00C65ED8" w:rsidP="00AF4150">
      <w:pPr>
        <w:jc w:val="both"/>
        <w:rPr>
          <w:lang w:val="es-ES"/>
        </w:rPr>
      </w:pPr>
    </w:p>
    <w:p w14:paraId="085277F0" w14:textId="5ECFE7AF" w:rsidR="00C65ED8" w:rsidRDefault="00C65ED8" w:rsidP="00AF4150">
      <w:pPr>
        <w:jc w:val="both"/>
        <w:rPr>
          <w:lang w:val="es-ES"/>
        </w:rPr>
      </w:pPr>
    </w:p>
    <w:p w14:paraId="68F818F0" w14:textId="10E18C67" w:rsidR="00C65ED8" w:rsidRDefault="00C65ED8" w:rsidP="00AF4150">
      <w:pPr>
        <w:jc w:val="both"/>
        <w:rPr>
          <w:lang w:val="es-ES"/>
        </w:rPr>
      </w:pPr>
    </w:p>
    <w:p w14:paraId="37D3FD65" w14:textId="5AACEB73" w:rsidR="00C65ED8" w:rsidRDefault="00C65ED8" w:rsidP="00AF4150">
      <w:pPr>
        <w:jc w:val="both"/>
        <w:rPr>
          <w:lang w:val="es-ES"/>
        </w:rPr>
      </w:pPr>
    </w:p>
    <w:p w14:paraId="36D179DD" w14:textId="1D3CDA05" w:rsidR="00C65ED8" w:rsidRDefault="00C65ED8" w:rsidP="00AF4150">
      <w:pPr>
        <w:jc w:val="both"/>
        <w:rPr>
          <w:lang w:val="es-ES"/>
        </w:rPr>
      </w:pPr>
    </w:p>
    <w:p w14:paraId="4284B746" w14:textId="7877E0E0" w:rsidR="00C65ED8" w:rsidRDefault="00C65ED8" w:rsidP="00AF4150">
      <w:pPr>
        <w:jc w:val="both"/>
        <w:rPr>
          <w:lang w:val="es-ES"/>
        </w:rPr>
      </w:pPr>
    </w:p>
    <w:p w14:paraId="29FAF985" w14:textId="1C433ECE" w:rsidR="00C65ED8" w:rsidRDefault="00C65ED8" w:rsidP="00AF4150">
      <w:pPr>
        <w:jc w:val="both"/>
        <w:rPr>
          <w:lang w:val="es-ES"/>
        </w:rPr>
      </w:pPr>
    </w:p>
    <w:p w14:paraId="5ACD365B" w14:textId="0DAB32E1" w:rsidR="00C65ED8" w:rsidRDefault="00C65ED8" w:rsidP="00AF4150">
      <w:pPr>
        <w:jc w:val="both"/>
        <w:rPr>
          <w:lang w:val="es-ES"/>
        </w:rPr>
      </w:pPr>
    </w:p>
    <w:p w14:paraId="7BCB91D7" w14:textId="4BA6D679" w:rsidR="00C65ED8" w:rsidRDefault="00C65ED8" w:rsidP="00AF4150">
      <w:pPr>
        <w:jc w:val="both"/>
        <w:rPr>
          <w:lang w:val="es-ES"/>
        </w:rPr>
      </w:pPr>
    </w:p>
    <w:p w14:paraId="5A7EB30D" w14:textId="49A7E46C" w:rsidR="00C65ED8" w:rsidRDefault="00C65ED8" w:rsidP="00AF4150">
      <w:pPr>
        <w:jc w:val="both"/>
        <w:rPr>
          <w:lang w:val="es-ES"/>
        </w:rPr>
      </w:pPr>
    </w:p>
    <w:p w14:paraId="48F2CFE3" w14:textId="261E0A56" w:rsidR="00C65ED8" w:rsidRDefault="00C65ED8" w:rsidP="00AF4150">
      <w:pPr>
        <w:jc w:val="both"/>
        <w:rPr>
          <w:lang w:val="es-ES"/>
        </w:rPr>
      </w:pPr>
    </w:p>
    <w:p w14:paraId="453B910F" w14:textId="5F11B003" w:rsidR="00DD523D" w:rsidRPr="00AF4150" w:rsidRDefault="00C65ED8" w:rsidP="00AF4150">
      <w:pPr>
        <w:jc w:val="both"/>
        <w:rPr>
          <w:lang w:val="es-ES"/>
        </w:rPr>
      </w:pPr>
      <w:r w:rsidRPr="001719F5">
        <w:rPr>
          <w:noProof/>
        </w:rPr>
        <w:lastRenderedPageBreak/>
        <w:drawing>
          <wp:inline distT="0" distB="0" distL="0" distR="0" wp14:anchorId="449A3F07" wp14:editId="3D50B85B">
            <wp:extent cx="5849828" cy="8202930"/>
            <wp:effectExtent l="0" t="0" r="0" b="7620"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903" cy="82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23D" w:rsidRPr="00AF4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2C39" w14:textId="77777777" w:rsidR="000B03A8" w:rsidRDefault="000B03A8" w:rsidP="00446DAF">
      <w:pPr>
        <w:spacing w:after="0" w:line="240" w:lineRule="auto"/>
      </w:pPr>
      <w:r>
        <w:separator/>
      </w:r>
    </w:p>
  </w:endnote>
  <w:endnote w:type="continuationSeparator" w:id="0">
    <w:p w14:paraId="57351209" w14:textId="77777777" w:rsidR="000B03A8" w:rsidRDefault="000B03A8" w:rsidP="0044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A8FA" w14:textId="77777777" w:rsidR="009868B7" w:rsidRDefault="00986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F81" w14:textId="77777777" w:rsidR="009868B7" w:rsidRDefault="009868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37F3" w14:textId="77777777" w:rsidR="009868B7" w:rsidRDefault="00986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1CD6" w14:textId="77777777" w:rsidR="000B03A8" w:rsidRDefault="000B03A8" w:rsidP="00446DAF">
      <w:pPr>
        <w:spacing w:after="0" w:line="240" w:lineRule="auto"/>
      </w:pPr>
      <w:r>
        <w:separator/>
      </w:r>
    </w:p>
  </w:footnote>
  <w:footnote w:type="continuationSeparator" w:id="0">
    <w:p w14:paraId="13743641" w14:textId="77777777" w:rsidR="000B03A8" w:rsidRDefault="000B03A8" w:rsidP="0044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64C0" w14:textId="77777777" w:rsidR="009868B7" w:rsidRDefault="009868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7229"/>
    </w:tblGrid>
    <w:tr w:rsidR="00202CE0" w14:paraId="2DEBF8B6" w14:textId="77777777" w:rsidTr="001E2097">
      <w:trPr>
        <w:cantSplit/>
        <w:trHeight w:val="983"/>
      </w:trPr>
      <w:tc>
        <w:tcPr>
          <w:tcW w:w="2269" w:type="dxa"/>
          <w:vAlign w:val="center"/>
        </w:tcPr>
        <w:p w14:paraId="55EAEAD7" w14:textId="503E162C" w:rsidR="00202CE0" w:rsidRPr="00446DAF" w:rsidRDefault="00202CE0" w:rsidP="00446DAF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r>
            <w:rPr>
              <w:noProof/>
              <w:lang w:eastAsia="es-GT"/>
            </w:rPr>
            <w:drawing>
              <wp:anchor distT="0" distB="0" distL="114300" distR="114300" simplePos="0" relativeHeight="251658240" behindDoc="0" locked="0" layoutInCell="1" allowOverlap="1" wp14:anchorId="78E5785D" wp14:editId="5327836F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1057275" cy="397465"/>
                <wp:effectExtent l="0" t="0" r="0" b="3175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97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vAlign w:val="center"/>
        </w:tcPr>
        <w:p w14:paraId="33C1C537" w14:textId="0D9B044C" w:rsidR="00202CE0" w:rsidRPr="00446DAF" w:rsidRDefault="00202CE0" w:rsidP="001E2097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r>
            <w:rPr>
              <w:rFonts w:ascii="Arial Narrow" w:hAnsi="Arial Narrow"/>
              <w:b/>
              <w:sz w:val="32"/>
              <w:szCs w:val="32"/>
              <w:lang w:val="es-CR"/>
            </w:rPr>
            <w:t>CESIÓN DE DERECHOS</w:t>
          </w:r>
        </w:p>
      </w:tc>
    </w:tr>
  </w:tbl>
  <w:p w14:paraId="2550984D" w14:textId="2D5EE713" w:rsidR="00446DAF" w:rsidRDefault="00446D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CFD4" w14:textId="77777777" w:rsidR="009868B7" w:rsidRDefault="009868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C33"/>
    <w:multiLevelType w:val="hybridMultilevel"/>
    <w:tmpl w:val="7B6A011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35BE"/>
    <w:multiLevelType w:val="hybridMultilevel"/>
    <w:tmpl w:val="D498857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CD2"/>
    <w:multiLevelType w:val="hybridMultilevel"/>
    <w:tmpl w:val="4AA862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9E0"/>
    <w:multiLevelType w:val="hybridMultilevel"/>
    <w:tmpl w:val="1D663806"/>
    <w:lvl w:ilvl="0" w:tplc="7EFE3B8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  <w:color w:val="4472C4" w:themeColor="accent1"/>
        <w:sz w:val="2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6F3"/>
    <w:multiLevelType w:val="multilevel"/>
    <w:tmpl w:val="BEB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27434"/>
    <w:multiLevelType w:val="hybridMultilevel"/>
    <w:tmpl w:val="5FA4982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A17"/>
    <w:multiLevelType w:val="hybridMultilevel"/>
    <w:tmpl w:val="5344EA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5F97"/>
    <w:multiLevelType w:val="hybridMultilevel"/>
    <w:tmpl w:val="DE1C513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52DC"/>
    <w:multiLevelType w:val="hybridMultilevel"/>
    <w:tmpl w:val="76725DE6"/>
    <w:lvl w:ilvl="0" w:tplc="B90456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  <w:sz w:val="26"/>
        <w:szCs w:val="26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6883"/>
    <w:multiLevelType w:val="hybridMultilevel"/>
    <w:tmpl w:val="3C1A0ECA"/>
    <w:lvl w:ilvl="0" w:tplc="B6BCD4C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68CC"/>
    <w:multiLevelType w:val="hybridMultilevel"/>
    <w:tmpl w:val="113A24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6A78"/>
    <w:multiLevelType w:val="hybridMultilevel"/>
    <w:tmpl w:val="882C73D6"/>
    <w:lvl w:ilvl="0" w:tplc="7C88C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A3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2A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A0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6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84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CF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40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AB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265A6"/>
    <w:multiLevelType w:val="hybridMultilevel"/>
    <w:tmpl w:val="A5621594"/>
    <w:lvl w:ilvl="0" w:tplc="ADB486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E8C"/>
    <w:multiLevelType w:val="hybridMultilevel"/>
    <w:tmpl w:val="C4A43BD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3C7F"/>
    <w:multiLevelType w:val="hybridMultilevel"/>
    <w:tmpl w:val="58089B9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5285"/>
    <w:multiLevelType w:val="hybridMultilevel"/>
    <w:tmpl w:val="EF12396A"/>
    <w:lvl w:ilvl="0" w:tplc="10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36F002E"/>
    <w:multiLevelType w:val="hybridMultilevel"/>
    <w:tmpl w:val="5A62F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A039C"/>
    <w:multiLevelType w:val="hybridMultilevel"/>
    <w:tmpl w:val="503EE3E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95A9F"/>
    <w:multiLevelType w:val="hybridMultilevel"/>
    <w:tmpl w:val="92D21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C61B3"/>
    <w:multiLevelType w:val="hybridMultilevel"/>
    <w:tmpl w:val="16587B7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664B"/>
    <w:multiLevelType w:val="multilevel"/>
    <w:tmpl w:val="55C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F2684"/>
    <w:multiLevelType w:val="hybridMultilevel"/>
    <w:tmpl w:val="1FD22392"/>
    <w:lvl w:ilvl="0" w:tplc="3DD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1C37"/>
    <w:multiLevelType w:val="hybridMultilevel"/>
    <w:tmpl w:val="60C6F410"/>
    <w:lvl w:ilvl="0" w:tplc="9858DF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27104"/>
    <w:multiLevelType w:val="hybridMultilevel"/>
    <w:tmpl w:val="0916ED46"/>
    <w:lvl w:ilvl="0" w:tplc="455C59D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bCs/>
        <w:color w:val="1F3864" w:themeColor="accent1" w:themeShade="80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D3DF3"/>
    <w:multiLevelType w:val="hybridMultilevel"/>
    <w:tmpl w:val="D488F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B350C"/>
    <w:multiLevelType w:val="hybridMultilevel"/>
    <w:tmpl w:val="7FC8AA6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980">
    <w:abstractNumId w:val="24"/>
  </w:num>
  <w:num w:numId="2" w16cid:durableId="1481582292">
    <w:abstractNumId w:val="18"/>
  </w:num>
  <w:num w:numId="3" w16cid:durableId="321008853">
    <w:abstractNumId w:val="5"/>
  </w:num>
  <w:num w:numId="4" w16cid:durableId="736124592">
    <w:abstractNumId w:val="14"/>
  </w:num>
  <w:num w:numId="5" w16cid:durableId="262884044">
    <w:abstractNumId w:val="13"/>
  </w:num>
  <w:num w:numId="6" w16cid:durableId="333462258">
    <w:abstractNumId w:val="1"/>
  </w:num>
  <w:num w:numId="7" w16cid:durableId="843938640">
    <w:abstractNumId w:val="25"/>
  </w:num>
  <w:num w:numId="8" w16cid:durableId="166212848">
    <w:abstractNumId w:val="7"/>
  </w:num>
  <w:num w:numId="9" w16cid:durableId="1801336677">
    <w:abstractNumId w:val="17"/>
  </w:num>
  <w:num w:numId="10" w16cid:durableId="1797260972">
    <w:abstractNumId w:val="11"/>
  </w:num>
  <w:num w:numId="11" w16cid:durableId="1620794261">
    <w:abstractNumId w:val="21"/>
  </w:num>
  <w:num w:numId="12" w16cid:durableId="335310483">
    <w:abstractNumId w:val="16"/>
  </w:num>
  <w:num w:numId="13" w16cid:durableId="300691418">
    <w:abstractNumId w:val="10"/>
  </w:num>
  <w:num w:numId="14" w16cid:durableId="18049113">
    <w:abstractNumId w:val="23"/>
  </w:num>
  <w:num w:numId="15" w16cid:durableId="1010572424">
    <w:abstractNumId w:val="12"/>
  </w:num>
  <w:num w:numId="16" w16cid:durableId="1814909475">
    <w:abstractNumId w:val="3"/>
  </w:num>
  <w:num w:numId="17" w16cid:durableId="1665620934">
    <w:abstractNumId w:val="19"/>
  </w:num>
  <w:num w:numId="18" w16cid:durableId="1014725947">
    <w:abstractNumId w:val="4"/>
  </w:num>
  <w:num w:numId="19" w16cid:durableId="578372189">
    <w:abstractNumId w:val="20"/>
  </w:num>
  <w:num w:numId="20" w16cid:durableId="1157577638">
    <w:abstractNumId w:val="2"/>
  </w:num>
  <w:num w:numId="21" w16cid:durableId="872425615">
    <w:abstractNumId w:val="9"/>
  </w:num>
  <w:num w:numId="22" w16cid:durableId="527258211">
    <w:abstractNumId w:val="22"/>
  </w:num>
  <w:num w:numId="23" w16cid:durableId="912274576">
    <w:abstractNumId w:val="8"/>
  </w:num>
  <w:num w:numId="24" w16cid:durableId="819424767">
    <w:abstractNumId w:val="6"/>
  </w:num>
  <w:num w:numId="25" w16cid:durableId="719548888">
    <w:abstractNumId w:val="15"/>
  </w:num>
  <w:num w:numId="26" w16cid:durableId="154300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6F"/>
    <w:rsid w:val="00006299"/>
    <w:rsid w:val="0001429D"/>
    <w:rsid w:val="00015863"/>
    <w:rsid w:val="00067127"/>
    <w:rsid w:val="0008255E"/>
    <w:rsid w:val="000B03A8"/>
    <w:rsid w:val="000C5A6A"/>
    <w:rsid w:val="000D76B9"/>
    <w:rsid w:val="00106D65"/>
    <w:rsid w:val="00132BCF"/>
    <w:rsid w:val="00165D5D"/>
    <w:rsid w:val="00177BE2"/>
    <w:rsid w:val="001B7C22"/>
    <w:rsid w:val="001C7C81"/>
    <w:rsid w:val="001E2097"/>
    <w:rsid w:val="00202CE0"/>
    <w:rsid w:val="00207A41"/>
    <w:rsid w:val="00216135"/>
    <w:rsid w:val="00230D80"/>
    <w:rsid w:val="00237690"/>
    <w:rsid w:val="00272015"/>
    <w:rsid w:val="00276B02"/>
    <w:rsid w:val="00292C73"/>
    <w:rsid w:val="002D27EC"/>
    <w:rsid w:val="00337C86"/>
    <w:rsid w:val="003505D5"/>
    <w:rsid w:val="00350764"/>
    <w:rsid w:val="00350E1A"/>
    <w:rsid w:val="003928C4"/>
    <w:rsid w:val="003B599A"/>
    <w:rsid w:val="003E719B"/>
    <w:rsid w:val="00420A5D"/>
    <w:rsid w:val="00446DAF"/>
    <w:rsid w:val="004473C4"/>
    <w:rsid w:val="00513D8D"/>
    <w:rsid w:val="005148F9"/>
    <w:rsid w:val="00577F9A"/>
    <w:rsid w:val="00590803"/>
    <w:rsid w:val="005922F8"/>
    <w:rsid w:val="00593AF3"/>
    <w:rsid w:val="00595287"/>
    <w:rsid w:val="005A7247"/>
    <w:rsid w:val="005B5445"/>
    <w:rsid w:val="006072D8"/>
    <w:rsid w:val="006352C6"/>
    <w:rsid w:val="006E2BED"/>
    <w:rsid w:val="006F5A23"/>
    <w:rsid w:val="00743DB3"/>
    <w:rsid w:val="007B035A"/>
    <w:rsid w:val="007F1B9E"/>
    <w:rsid w:val="00824C53"/>
    <w:rsid w:val="00850835"/>
    <w:rsid w:val="00887FC4"/>
    <w:rsid w:val="008A1BD8"/>
    <w:rsid w:val="008D2AC5"/>
    <w:rsid w:val="008F5CFC"/>
    <w:rsid w:val="009409A0"/>
    <w:rsid w:val="009757DF"/>
    <w:rsid w:val="009868B7"/>
    <w:rsid w:val="00990059"/>
    <w:rsid w:val="009C5A7A"/>
    <w:rsid w:val="00A04306"/>
    <w:rsid w:val="00A75159"/>
    <w:rsid w:val="00A75EB9"/>
    <w:rsid w:val="00AA5AE0"/>
    <w:rsid w:val="00AC67D1"/>
    <w:rsid w:val="00AF4150"/>
    <w:rsid w:val="00B07FCC"/>
    <w:rsid w:val="00B11152"/>
    <w:rsid w:val="00B4236D"/>
    <w:rsid w:val="00B93791"/>
    <w:rsid w:val="00BA0759"/>
    <w:rsid w:val="00BC6D30"/>
    <w:rsid w:val="00C17856"/>
    <w:rsid w:val="00C52B64"/>
    <w:rsid w:val="00C65ED8"/>
    <w:rsid w:val="00C97112"/>
    <w:rsid w:val="00CB13AF"/>
    <w:rsid w:val="00CE0513"/>
    <w:rsid w:val="00D168DE"/>
    <w:rsid w:val="00D906EA"/>
    <w:rsid w:val="00D95EAC"/>
    <w:rsid w:val="00DA0E09"/>
    <w:rsid w:val="00DA4246"/>
    <w:rsid w:val="00DD523D"/>
    <w:rsid w:val="00DE3718"/>
    <w:rsid w:val="00E25021"/>
    <w:rsid w:val="00E4426F"/>
    <w:rsid w:val="00F00F1D"/>
    <w:rsid w:val="00F10091"/>
    <w:rsid w:val="00F12F10"/>
    <w:rsid w:val="00F32E56"/>
    <w:rsid w:val="00F508FA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86D80"/>
  <w15:chartTrackingRefBased/>
  <w15:docId w15:val="{E50FA626-0A10-43C9-91B9-4C92D22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7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6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DAF"/>
  </w:style>
  <w:style w:type="paragraph" w:styleId="Piedepgina">
    <w:name w:val="footer"/>
    <w:basedOn w:val="Normal"/>
    <w:link w:val="PiedepginaCar"/>
    <w:uiPriority w:val="99"/>
    <w:unhideWhenUsed/>
    <w:rsid w:val="00446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DAF"/>
  </w:style>
  <w:style w:type="character" w:styleId="Nmerodepgina">
    <w:name w:val="page number"/>
    <w:basedOn w:val="Fuentedeprrafopredeter"/>
    <w:semiHidden/>
    <w:rsid w:val="00446DAF"/>
  </w:style>
  <w:style w:type="paragraph" w:styleId="NormalWeb">
    <w:name w:val="Normal (Web)"/>
    <w:basedOn w:val="Normal"/>
    <w:uiPriority w:val="99"/>
    <w:unhideWhenUsed/>
    <w:rsid w:val="00D1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13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992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3F4F8"/>
                  </w:divBdr>
                  <w:divsChild>
                    <w:div w:id="3299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Carmen Peñate</dc:creator>
  <cp:keywords/>
  <dc:description/>
  <cp:lastModifiedBy>Isabel del Carmen Peñate</cp:lastModifiedBy>
  <cp:revision>32</cp:revision>
  <cp:lastPrinted>2023-02-23T18:00:00Z</cp:lastPrinted>
  <dcterms:created xsi:type="dcterms:W3CDTF">2023-02-13T16:22:00Z</dcterms:created>
  <dcterms:modified xsi:type="dcterms:W3CDTF">2023-02-24T20:59:00Z</dcterms:modified>
</cp:coreProperties>
</file>